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29 vom 18. Februar 2026</w:t>
      </w:r>
    </w:p>
    <w:p>
      <w:r>
        <w:t>FR Kantonsgericht, 2026-02-18, FR</w:t>
      </w:r>
    </w:p>
    <w:p>
      <w:r>
        <w:rPr>
          <w:b/>
        </w:rPr>
        <w:t xml:space="preserve">Quelle: </w:t>
      </w:r>
      <w:r>
        <w:t>https://mcp.opencaselaw.ch/entscheid/fr_gerichte_102 2026 29</w:t>
      </w:r>
    </w:p>
    <w:p>
      <w:r>
        <w:t>FR: FR_GERICHTE 102 2026 29 du 18 février 2026</w:t>
      </w:r>
    </w:p>
    <w:p>
      <w:r>
        <w:t>IT: FR_GERICHTE 102 2026 29 del 18 febbraio 2026</w:t>
      </w:r>
    </w:p>
    <w:p>
      <w:pPr>
        <w:pStyle w:val="Heading2"/>
      </w:pPr>
      <w:r>
        <w:t>Erwägungen</w:t>
      </w:r>
    </w:p>
    <w:p>
      <w:r>
        <w:rPr>
          <w:b/>
        </w:rPr>
        <w:t>E. 1.1</w:t>
      </w:r>
    </w:p>
    <w:p>
      <w:r>
        <w:t>Seule la voie du recours (art. 319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En l’espèce, la recourante a produit, à l’appui de son recours, un courriel du 6 juillet 2025 valant, selon elle, commande des biens qui n’ont pas été payés par l’intimée. Ce nouveau moyen de preuve, tardif au regard de l’art. 326 al. 1 CPC, est irrecevable. Il n’en sera dès lors pas tenu compte et la Cour statuera sur la base des allégués et des pièces produites en première instance.</w:t>
      </w:r>
    </w:p>
    <w:p>
      <w:r>
        <w:rPr>
          <w:b/>
        </w:rPr>
        <w:t>E. 2.1</w:t>
      </w:r>
    </w:p>
    <w:p>
      <w:r>
        <w:t>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Tribunal cantonal TC Page 3 de 4</w:t>
      </w:r>
    </w:p>
    <w:p>
      <w:r>
        <w:rPr>
          <w:b/>
        </w:rPr>
        <w:t>E. 2.1.1</w:t>
      </w:r>
    </w:p>
    <w:p>
      <w:r>
        <w:t>La procédure de mainlevée provisoire, ou définitive, est une procédure sur pièces (Urkunden- 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La procédure de mainlevée d’opposition est soumise à la maxime des débats (art. 55 CPC, art. 255 CPC a contrario) qui prévoit que le juge ne peut tenir compte dans son jugement des faits qui ne sont pas allégués ni prouvés. La partie demanderesse doit ainsi exposer les faits et moyens de preuve qui fondent son action (ATF 144 III 552 consid. 4.1.3).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(res iudicata) quant à l'existence de la créance (ATF 149 III 210 consid. 4.3.3).</w:t>
      </w:r>
    </w:p>
    <w:p>
      <w:r>
        <w:rPr>
          <w:b/>
        </w:rPr>
        <w:t>E. 2.1.2</w:t>
      </w:r>
    </w:p>
    <w:p>
      <w:r>
        <w:t>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Une reconnaissance de dette peut résulter d’un ensemble de pièces dans la mesure où il en ressort les éléments nécessaires ; cela signifie que le document signé doit notamment faire clairement référence ou renvoyer aux données qui mentionnent le montant de la dette ou permettent de la chiffrer. Le montant de la dette doit ainsi être fixé ou aisément déterminable dans les pièces auxquelles renvoie le document signé, et ce au moment de la signature de ce dernier (CR LP-BOVEY/CONSTANTIN, 2e éd. 2025, art. 82 n. 9). Selon la jurisprudence cantonale et la doctrine, le montant de la créance peut ainsi figurer sur l'acte signé ou sur une pièce auquel celui-ci se rapporte (BSK SchKG I-STAEHELIN, 3e éd. 2021, art. 82 LP, n. 25 et la jurisprudence citée). Cependant, dans tous les cas, pour constituer un titre de mainlevée, la reconnaissance de dette doit être signée par le débiteur ou son représentant, à moins qu'elle ne soit contenue dans un acte authentique (CR LP-BOVEY/CONSTANTIN, 2e éd. 2025, art. 82 LP, n. 11).</w:t>
      </w:r>
    </w:p>
    <w:p>
      <w:r>
        <w:rPr>
          <w:b/>
        </w:rPr>
        <w:t>E. 2.2</w:t>
      </w:r>
    </w:p>
    <w:p>
      <w:r>
        <w:t>En l’espèce, comme l’a justement constaté le premier juge, la recourante n’a produit aucune pièce comportant la signature manuscrite d’un représentant de la société B.________ SA dans laquelle celle-ci aurait reconnu lui devoir le montant réclamé. La recourante n’ayant pas valablement produit un titre de mainlevée provisoire, c’est à bon droit que la Présidente a rejeté la demande de mainlevée de l’opposition. Il convient de préciser que, même recevable, le courriel du 6 juillet 2025 ne vaudrait pas titre de mainlevée étant donné que, d’une part, il n’est pas signé manuscritement par le représentant de B.________ SA et que, d’autre part, qu’il ne fait pas mention d’une somme d’argent déterminée que B.________ SA reconnaîtrait devoir à A.________ SA.</w:t>
      </w:r>
    </w:p>
    <w:p>
      <w:r>
        <w:rPr>
          <w:b/>
        </w:rPr>
        <w:t>E. 3</w:t>
      </w:r>
    </w:p>
    <w:p>
      <w:r>
        <w:t>Selon l’art. 106 al. 1 CPC, les frais sont mis à la charge de la partie succombante.</w:t>
      </w:r>
    </w:p>
    <w:p>
      <w:r>
        <w:t>Tribunal cantonal TC Page 4 de 4 En l’espèce, le recours est rejeté. Dans ces circonstances, les frais judiciaires de la procédure de recours, fixés à CHF 150.- (art. 48 al. 1 et 61 al. 1 de l'ordonnance du 23 septembre 1996 sur les émoluments perçus en application de la loi fédérale sur la poursuite pour dettes et la faillite, RS 281.35), sont mis à la charge de la recourante et compensés avec l'avance de frais versée. Pour les mêmes raisons, il ne lui sera pas alloué de dépens. Il n’est pas alloué de dépens à l’intimé qui n’a pas été invitée à se déterminer sur le recours. la Cour arrête : I. Le recours est rejeté. Partant, la décision de la Présidente du Tribunal civil de l’arrondissement de la Broye du 29 janvier 2026 est confirmée. II. Les frais de la procédure de recours sont fixés à CHF 150.-, mis à la charge de A.________ SA et compensés avec l'avance de frais versée.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27 février 2026/cat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